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CBE39" w14:textId="77777777" w:rsidR="00A14EAC" w:rsidRPr="008A5112" w:rsidRDefault="009E6D04" w:rsidP="009E6D04">
      <w:pPr>
        <w:pStyle w:val="Heading1"/>
      </w:pPr>
      <w:r w:rsidRPr="008A5112">
        <w:t>Age-Friendly Mecklenburg</w:t>
      </w:r>
    </w:p>
    <w:p w14:paraId="380D1E40" w14:textId="202C4DF9" w:rsidR="009E6D04" w:rsidRPr="008A5112" w:rsidRDefault="002A77F7" w:rsidP="00A14EAC">
      <w:pPr>
        <w:pStyle w:val="Heading2"/>
      </w:pPr>
      <w:r w:rsidRPr="008A5112">
        <w:t>AFM Overview</w:t>
      </w:r>
    </w:p>
    <w:p w14:paraId="2D255E58" w14:textId="1B247EA1" w:rsidR="009E6D04" w:rsidRPr="008A5112" w:rsidRDefault="009E6D04" w:rsidP="009E6D04">
      <w:pPr>
        <w:pStyle w:val="Heading4"/>
      </w:pPr>
      <w:r w:rsidRPr="008A5112">
        <w:t xml:space="preserve">Purpose </w:t>
      </w:r>
      <w:r w:rsidR="00AD66E9" w:rsidRPr="008A5112">
        <w:t xml:space="preserve">and Process </w:t>
      </w:r>
      <w:r w:rsidRPr="008A5112">
        <w:t xml:space="preserve">of </w:t>
      </w:r>
      <w:r w:rsidR="00775D1C" w:rsidRPr="008A5112">
        <w:t>Age-Friendly Mecklenbur</w:t>
      </w:r>
      <w:r w:rsidR="00AD66E9" w:rsidRPr="008A5112">
        <w:t>g</w:t>
      </w:r>
    </w:p>
    <w:p w14:paraId="68AE517C" w14:textId="1EBA8DEE" w:rsidR="00453EB4" w:rsidRPr="008A5112" w:rsidRDefault="008A5112" w:rsidP="007349DA">
      <w:pPr>
        <w:spacing w:before="0"/>
      </w:pPr>
      <w:r w:rsidRPr="008A5112">
        <w:t>Age-Friendly Mecklenburg is an initiative that facilitates the collective planning of not-for-profit, private, and governmental</w:t>
      </w:r>
      <w:r>
        <w:t xml:space="preserve"> organizations</w:t>
      </w:r>
      <w:r w:rsidRPr="008A5112">
        <w:t xml:space="preserve"> </w:t>
      </w:r>
      <w:r w:rsidR="00317462">
        <w:t>as well as</w:t>
      </w:r>
      <w:r w:rsidRPr="008A5112">
        <w:t xml:space="preserve"> their collaboration on activities to improve the quality of life for older adults.</w:t>
      </w:r>
      <w:r w:rsidR="0051273E">
        <w:t xml:space="preserve">  </w:t>
      </w:r>
      <w:r w:rsidR="00A376EF">
        <w:t xml:space="preserve">These </w:t>
      </w:r>
      <w:r w:rsidR="00A376EF" w:rsidRPr="008A5112">
        <w:t xml:space="preserve">Age-Friendly Mecklenburg </w:t>
      </w:r>
      <w:r w:rsidR="00D16595">
        <w:t>Partner</w:t>
      </w:r>
      <w:r w:rsidR="00086FCB">
        <w:t>s</w:t>
      </w:r>
      <w:r w:rsidR="00453EB4" w:rsidRPr="008A5112">
        <w:t xml:space="preserve"> </w:t>
      </w:r>
      <w:r w:rsidR="009C73E1" w:rsidRPr="008A5112">
        <w:t xml:space="preserve">serve the senior community by </w:t>
      </w:r>
      <w:r w:rsidR="00453EB4" w:rsidRPr="008A5112">
        <w:t xml:space="preserve">providing information, resolving issues, and delivering programs and services.  </w:t>
      </w:r>
    </w:p>
    <w:p w14:paraId="733EFD96" w14:textId="77777777" w:rsidR="00453EB4" w:rsidRPr="008A5112" w:rsidRDefault="00453EB4" w:rsidP="007349DA">
      <w:pPr>
        <w:spacing w:before="0"/>
      </w:pPr>
    </w:p>
    <w:p w14:paraId="1661FB62" w14:textId="77777777" w:rsidR="009E56C3" w:rsidRPr="008A5112" w:rsidRDefault="009E56C3" w:rsidP="009E56C3">
      <w:pPr>
        <w:pStyle w:val="Heading5"/>
      </w:pPr>
      <w:r w:rsidRPr="008A5112">
        <w:t>Designation Goal and Benefits</w:t>
      </w:r>
    </w:p>
    <w:p w14:paraId="47F593BA" w14:textId="77777777" w:rsidR="009E56C3" w:rsidRPr="008A5112" w:rsidRDefault="009E56C3" w:rsidP="009E56C3">
      <w:pPr>
        <w:spacing w:before="0"/>
      </w:pPr>
      <w:r w:rsidRPr="008A5112">
        <w:t xml:space="preserve">The near-term goal for Age-Friendly Mecklenburg is to submit a community-wide Action Plan to the national office of AARP as well as the World Health Organization that notes a comprehensive approach to improve the livability of Mecklenburg County for seniors.  </w:t>
      </w:r>
      <w:r w:rsidRPr="008A5112">
        <w:rPr>
          <w:color w:val="0070C0"/>
        </w:rPr>
        <w:t>By presenting this Plan to AARP/WHO, Mecklenburg County hopes to become designated as an Age-Friendly Community</w:t>
      </w:r>
      <w:r w:rsidRPr="008A5112">
        <w:t>.</w:t>
      </w:r>
    </w:p>
    <w:p w14:paraId="33311818" w14:textId="77777777" w:rsidR="009E56C3" w:rsidRPr="008A5112" w:rsidRDefault="009E56C3" w:rsidP="009E56C3">
      <w:pPr>
        <w:pStyle w:val="NoSpacing"/>
      </w:pPr>
    </w:p>
    <w:p w14:paraId="50F07C24" w14:textId="77777777" w:rsidR="002108BC" w:rsidRPr="002108BC" w:rsidRDefault="002108BC" w:rsidP="002108BC">
      <w:pPr>
        <w:pStyle w:val="Heading5"/>
      </w:pPr>
      <w:r w:rsidRPr="002108BC">
        <w:t>Benefits of Becoming an Age-Friendly Community</w:t>
      </w:r>
    </w:p>
    <w:p w14:paraId="34D75316" w14:textId="77777777" w:rsidR="002108BC" w:rsidRPr="002108BC" w:rsidRDefault="002108BC" w:rsidP="002108BC">
      <w:pPr>
        <w:pStyle w:val="ListParagraph"/>
        <w:numPr>
          <w:ilvl w:val="0"/>
          <w:numId w:val="2"/>
        </w:numPr>
        <w:rPr>
          <w:b/>
          <w:bCs/>
          <w:color w:val="0070C0"/>
        </w:rPr>
      </w:pPr>
      <w:r w:rsidRPr="002108BC">
        <w:rPr>
          <w:b/>
          <w:bCs/>
          <w:color w:val="0070C0"/>
        </w:rPr>
        <w:t>For the Community</w:t>
      </w:r>
    </w:p>
    <w:p w14:paraId="439B3CF2" w14:textId="77777777" w:rsidR="002108BC" w:rsidRPr="006D57BC" w:rsidRDefault="002108BC" w:rsidP="002108BC">
      <w:pPr>
        <w:pStyle w:val="ListParagraph"/>
        <w:numPr>
          <w:ilvl w:val="1"/>
          <w:numId w:val="2"/>
        </w:numPr>
      </w:pPr>
      <w:r w:rsidRPr="006D57BC">
        <w:t>Organizations and individuals are more coordinated in efforts for seniors, and they’re more sensitive and responsive to aging adults.</w:t>
      </w:r>
    </w:p>
    <w:p w14:paraId="357DF478" w14:textId="77777777" w:rsidR="002108BC" w:rsidRPr="006D57BC" w:rsidRDefault="002108BC" w:rsidP="002108BC">
      <w:pPr>
        <w:pStyle w:val="ListParagraph"/>
        <w:numPr>
          <w:ilvl w:val="1"/>
          <w:numId w:val="2"/>
        </w:numPr>
      </w:pPr>
      <w:r w:rsidRPr="006D57BC">
        <w:t xml:space="preserve">Seniors </w:t>
      </w:r>
      <w:r>
        <w:t xml:space="preserve">are </w:t>
      </w:r>
      <w:r w:rsidRPr="006D57BC">
        <w:t xml:space="preserve">kept more engaged, vibrant, active, informed.  </w:t>
      </w:r>
      <w:r>
        <w:t>This l</w:t>
      </w:r>
      <w:r w:rsidRPr="006D57BC">
        <w:t>eads to earned recognition as an Age-Friendly Community.</w:t>
      </w:r>
    </w:p>
    <w:p w14:paraId="3C18704B" w14:textId="77777777" w:rsidR="002108BC" w:rsidRPr="006D57BC" w:rsidRDefault="002108BC" w:rsidP="002108BC">
      <w:pPr>
        <w:pStyle w:val="ListParagraph"/>
        <w:numPr>
          <w:ilvl w:val="1"/>
          <w:numId w:val="2"/>
        </w:numPr>
      </w:pPr>
      <w:r w:rsidRPr="006D57BC">
        <w:t>Seniors from other locations would see Mecklenburg County as a great place to retire.</w:t>
      </w:r>
    </w:p>
    <w:p w14:paraId="1098B8C7" w14:textId="77777777" w:rsidR="002108BC" w:rsidRDefault="002108BC" w:rsidP="002108BC">
      <w:pPr>
        <w:pStyle w:val="ListParagraph"/>
        <w:numPr>
          <w:ilvl w:val="1"/>
          <w:numId w:val="2"/>
        </w:numPr>
      </w:pPr>
      <w:r w:rsidRPr="006D57BC">
        <w:t>“Sandwich Generation” sees this as a great place to stay with their parents as they age or to bring parents.</w:t>
      </w:r>
    </w:p>
    <w:p w14:paraId="4DF5615D" w14:textId="77777777" w:rsidR="002108BC" w:rsidRPr="002108BC" w:rsidRDefault="002108BC" w:rsidP="002108BC">
      <w:pPr>
        <w:pStyle w:val="ListParagraph"/>
        <w:numPr>
          <w:ilvl w:val="0"/>
          <w:numId w:val="2"/>
        </w:numPr>
        <w:rPr>
          <w:b/>
          <w:bCs/>
          <w:color w:val="0070C0"/>
        </w:rPr>
      </w:pPr>
      <w:r w:rsidRPr="002108BC">
        <w:rPr>
          <w:b/>
          <w:bCs/>
          <w:color w:val="0070C0"/>
        </w:rPr>
        <w:t>For the Individual (What a Senior May Say about Mecklenburg County)</w:t>
      </w:r>
    </w:p>
    <w:p w14:paraId="59A51A08" w14:textId="77777777" w:rsidR="002108BC" w:rsidRPr="006D57BC" w:rsidRDefault="002108BC" w:rsidP="002108BC">
      <w:pPr>
        <w:pStyle w:val="ListParagraph"/>
        <w:numPr>
          <w:ilvl w:val="1"/>
          <w:numId w:val="2"/>
        </w:numPr>
        <w:rPr>
          <w:i/>
          <w:iCs/>
        </w:rPr>
      </w:pPr>
      <w:r w:rsidRPr="006D57BC">
        <w:rPr>
          <w:i/>
          <w:iCs/>
        </w:rPr>
        <w:t>“The community has great resources that address my health and housing needs, and there are also interesting activities that I can participate in from home or at locations I can get to safely.”</w:t>
      </w:r>
    </w:p>
    <w:p w14:paraId="2DE4784E" w14:textId="77777777" w:rsidR="002108BC" w:rsidRPr="006D57BC" w:rsidRDefault="002108BC" w:rsidP="002108BC">
      <w:pPr>
        <w:pStyle w:val="ListParagraph"/>
        <w:numPr>
          <w:ilvl w:val="1"/>
          <w:numId w:val="2"/>
        </w:numPr>
        <w:rPr>
          <w:i/>
          <w:iCs/>
        </w:rPr>
      </w:pPr>
      <w:r w:rsidRPr="006D57BC">
        <w:rPr>
          <w:i/>
          <w:iCs/>
        </w:rPr>
        <w:t>“I know what’s going on in my community, I feel part of my community, and I feel respected by my community.”</w:t>
      </w:r>
    </w:p>
    <w:p w14:paraId="37239A74" w14:textId="77777777" w:rsidR="009E56C3" w:rsidRPr="008A5112" w:rsidRDefault="009E56C3" w:rsidP="009E56C3">
      <w:pPr>
        <w:pStyle w:val="NoSpacing"/>
      </w:pPr>
    </w:p>
    <w:p w14:paraId="1D51F4A0" w14:textId="236E3B13" w:rsidR="00AC6C02" w:rsidRPr="008A5112" w:rsidRDefault="00010B8C" w:rsidP="00AC6C02">
      <w:pPr>
        <w:pStyle w:val="Heading5"/>
      </w:pPr>
      <w:r w:rsidRPr="008A5112">
        <w:t>Key Milestones Prior to 2020</w:t>
      </w:r>
    </w:p>
    <w:p w14:paraId="3706AAB5" w14:textId="6EE3305A" w:rsidR="007E207E" w:rsidRPr="008A5112" w:rsidRDefault="007E207E" w:rsidP="007050F6">
      <w:pPr>
        <w:pStyle w:val="ListParagraph"/>
        <w:numPr>
          <w:ilvl w:val="0"/>
          <w:numId w:val="1"/>
        </w:numPr>
      </w:pPr>
      <w:r w:rsidRPr="008A5112">
        <w:t xml:space="preserve">Submitted </w:t>
      </w:r>
      <w:r w:rsidR="007D136E" w:rsidRPr="008A5112">
        <w:t>letter from County leadership in September 2016</w:t>
      </w:r>
      <w:r w:rsidR="007050F6" w:rsidRPr="008A5112">
        <w:t>, noting commitment to “</w:t>
      </w:r>
      <w:r w:rsidR="00090168" w:rsidRPr="008A5112">
        <w:t>improvement in the eight domains the World Health Organization identified as influencing the health and quality of life of older adults”</w:t>
      </w:r>
    </w:p>
    <w:p w14:paraId="25B66A2E" w14:textId="52F7F6F4" w:rsidR="007E207E" w:rsidRPr="008A5112" w:rsidRDefault="007E207E" w:rsidP="007E207E">
      <w:pPr>
        <w:pStyle w:val="ListParagraph"/>
        <w:numPr>
          <w:ilvl w:val="0"/>
          <w:numId w:val="1"/>
        </w:numPr>
      </w:pPr>
      <w:r w:rsidRPr="008A5112">
        <w:t xml:space="preserve">Conducted </w:t>
      </w:r>
      <w:r w:rsidR="007D136E" w:rsidRPr="008A5112">
        <w:t xml:space="preserve">research on the needs of </w:t>
      </w:r>
      <w:r w:rsidR="009602D7" w:rsidRPr="008A5112">
        <w:t>seniors</w:t>
      </w:r>
      <w:r w:rsidR="007D136E" w:rsidRPr="008A5112">
        <w:t xml:space="preserve"> in the community</w:t>
      </w:r>
    </w:p>
    <w:p w14:paraId="6B674F88" w14:textId="044D5491" w:rsidR="007D136E" w:rsidRPr="008A5112" w:rsidRDefault="007E207E" w:rsidP="00F926DF">
      <w:pPr>
        <w:pStyle w:val="ListParagraph"/>
        <w:numPr>
          <w:ilvl w:val="0"/>
          <w:numId w:val="1"/>
        </w:numPr>
      </w:pPr>
      <w:r w:rsidRPr="008A5112">
        <w:t xml:space="preserve">Created Age-Friendly </w:t>
      </w:r>
      <w:r w:rsidR="007D136E" w:rsidRPr="008A5112">
        <w:t xml:space="preserve">Gap Analysis </w:t>
      </w:r>
      <w:r w:rsidRPr="008A5112">
        <w:t xml:space="preserve">in 2019 </w:t>
      </w:r>
      <w:r w:rsidR="007D136E" w:rsidRPr="008A5112">
        <w:t>reflecting the current state of the community</w:t>
      </w:r>
      <w:r w:rsidR="00F926DF" w:rsidRPr="008A5112">
        <w:t xml:space="preserve">; </w:t>
      </w:r>
      <w:r w:rsidR="007D136E" w:rsidRPr="008A5112">
        <w:t xml:space="preserve">Gap Analysis conducted within the framework of the </w:t>
      </w:r>
      <w:r w:rsidR="00F557F6" w:rsidRPr="008A5112">
        <w:t xml:space="preserve">Eight Domains of Livability </w:t>
      </w:r>
      <w:r w:rsidR="007D136E" w:rsidRPr="008A5112">
        <w:t>for an Age-Friendly Community.</w:t>
      </w:r>
    </w:p>
    <w:p w14:paraId="7562FD31" w14:textId="77777777" w:rsidR="007D136E" w:rsidRPr="008A5112" w:rsidRDefault="007D136E" w:rsidP="00031251">
      <w:pPr>
        <w:pStyle w:val="NoSpacing"/>
      </w:pPr>
    </w:p>
    <w:p w14:paraId="4D6393CE" w14:textId="01D2C867" w:rsidR="00AC6C02" w:rsidRPr="008A5112" w:rsidRDefault="00AC6C02" w:rsidP="00AC6C02">
      <w:pPr>
        <w:pStyle w:val="Heading5"/>
      </w:pPr>
      <w:r w:rsidRPr="008A5112">
        <w:t>Action Planning Approach</w:t>
      </w:r>
    </w:p>
    <w:p w14:paraId="30AA5AF8" w14:textId="1EC4BAA7" w:rsidR="004057A6" w:rsidRPr="008A5112" w:rsidRDefault="00600E28" w:rsidP="007349DA">
      <w:pPr>
        <w:spacing w:before="0"/>
      </w:pPr>
      <w:r w:rsidRPr="008A5112">
        <w:t>As</w:t>
      </w:r>
      <w:r w:rsidR="00DB0D58" w:rsidRPr="008A5112">
        <w:t xml:space="preserve"> the</w:t>
      </w:r>
      <w:r w:rsidRPr="008A5112">
        <w:t xml:space="preserve"> convenor </w:t>
      </w:r>
      <w:r w:rsidR="00DB0D58" w:rsidRPr="008A5112">
        <w:t xml:space="preserve">for </w:t>
      </w:r>
      <w:r w:rsidR="00576CB4" w:rsidRPr="008A5112">
        <w:t>Age-Friendly Mecklenburg</w:t>
      </w:r>
      <w:r w:rsidRPr="008A5112">
        <w:t xml:space="preserve">, Mecklenburg County </w:t>
      </w:r>
      <w:r w:rsidR="0075188D" w:rsidRPr="008A5112">
        <w:t xml:space="preserve">Government </w:t>
      </w:r>
      <w:r w:rsidRPr="008A5112">
        <w:t xml:space="preserve">has created the structure and process being used to develop </w:t>
      </w:r>
      <w:r w:rsidR="00486347" w:rsidRPr="008A5112">
        <w:t xml:space="preserve">Action Plans </w:t>
      </w:r>
      <w:r w:rsidRPr="008A5112">
        <w:t xml:space="preserve">and enlist additional </w:t>
      </w:r>
      <w:r w:rsidR="00486347" w:rsidRPr="008A5112">
        <w:t xml:space="preserve">Partner </w:t>
      </w:r>
      <w:r w:rsidRPr="008A5112">
        <w:t xml:space="preserve">organizations to address the 2019 </w:t>
      </w:r>
      <w:r w:rsidR="00486347" w:rsidRPr="008A5112">
        <w:t xml:space="preserve">Gap Analysis </w:t>
      </w:r>
      <w:r w:rsidRPr="008A5112">
        <w:t xml:space="preserve">produced by </w:t>
      </w:r>
      <w:r w:rsidR="00576CB4" w:rsidRPr="008A5112">
        <w:t>Age-Friendly Mecklenburg</w:t>
      </w:r>
      <w:r w:rsidR="00B945ED" w:rsidRPr="008A5112">
        <w:t xml:space="preserve"> Partners</w:t>
      </w:r>
      <w:r w:rsidRPr="008A5112">
        <w:t>.</w:t>
      </w:r>
    </w:p>
    <w:p w14:paraId="091D2235" w14:textId="5F1F3E98" w:rsidR="004057A6" w:rsidRDefault="004057A6" w:rsidP="00031251">
      <w:pPr>
        <w:pStyle w:val="NoSpacing"/>
      </w:pPr>
    </w:p>
    <w:p w14:paraId="4CB13D3C" w14:textId="766F3DA2" w:rsidR="002108BC" w:rsidRPr="008A5112" w:rsidRDefault="002108BC" w:rsidP="002108BC">
      <w:pPr>
        <w:pStyle w:val="Heading5"/>
      </w:pPr>
      <w:r>
        <w:t>Summary</w:t>
      </w:r>
    </w:p>
    <w:p w14:paraId="480AE2E2" w14:textId="2D092957" w:rsidR="00002D90" w:rsidRPr="00A37E98" w:rsidRDefault="00453EB4" w:rsidP="00C70A90">
      <w:pPr>
        <w:spacing w:before="0"/>
      </w:pPr>
      <w:r w:rsidRPr="008A5112">
        <w:t xml:space="preserve">Age-Friendly Mecklenburg is an initiative that involves partner organizations from throughout Mecklenburg County in a coordinated effort to improve the livability of the community for senior residents, in particular. </w:t>
      </w:r>
      <w:r w:rsidR="00B47B90" w:rsidRPr="008A5112">
        <w:t xml:space="preserve"> </w:t>
      </w:r>
      <w:r w:rsidR="0060280E">
        <w:t>P</w:t>
      </w:r>
      <w:r w:rsidRPr="008A5112">
        <w:t>articipants in this initiative typically have a large - if not primary - constituency of older adults, and they have a desire to partner with complementary organizations and individuals in order to efficiently and more completely address the needs and goals of the senior community.</w:t>
      </w:r>
    </w:p>
    <w:sectPr w:rsidR="00002D90" w:rsidRPr="00A37E98" w:rsidSect="0041304F">
      <w:pgSz w:w="12240" w:h="15840"/>
      <w:pgMar w:top="720" w:right="864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7D639" w14:textId="77777777" w:rsidR="00F949A5" w:rsidRDefault="00F949A5" w:rsidP="000805FA">
      <w:r>
        <w:separator/>
      </w:r>
    </w:p>
  </w:endnote>
  <w:endnote w:type="continuationSeparator" w:id="0">
    <w:p w14:paraId="1CFBC923" w14:textId="77777777" w:rsidR="00F949A5" w:rsidRDefault="00F949A5" w:rsidP="0008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F4261" w14:textId="77777777" w:rsidR="00F949A5" w:rsidRDefault="00F949A5" w:rsidP="000805FA">
      <w:r>
        <w:separator/>
      </w:r>
    </w:p>
  </w:footnote>
  <w:footnote w:type="continuationSeparator" w:id="0">
    <w:p w14:paraId="04C6C8CD" w14:textId="77777777" w:rsidR="00F949A5" w:rsidRDefault="00F949A5" w:rsidP="00080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9792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BBA62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04"/>
    <w:rsid w:val="00002567"/>
    <w:rsid w:val="00002D90"/>
    <w:rsid w:val="00004C64"/>
    <w:rsid w:val="00010B8C"/>
    <w:rsid w:val="000306D4"/>
    <w:rsid w:val="00031251"/>
    <w:rsid w:val="00032B66"/>
    <w:rsid w:val="00034457"/>
    <w:rsid w:val="00035262"/>
    <w:rsid w:val="00042F82"/>
    <w:rsid w:val="00074F99"/>
    <w:rsid w:val="000805FA"/>
    <w:rsid w:val="00080694"/>
    <w:rsid w:val="00086FCB"/>
    <w:rsid w:val="00090168"/>
    <w:rsid w:val="000B10A7"/>
    <w:rsid w:val="000B47F0"/>
    <w:rsid w:val="00131034"/>
    <w:rsid w:val="001410FC"/>
    <w:rsid w:val="001909B9"/>
    <w:rsid w:val="001B48A1"/>
    <w:rsid w:val="001D4E88"/>
    <w:rsid w:val="001E512A"/>
    <w:rsid w:val="002108BC"/>
    <w:rsid w:val="00261B31"/>
    <w:rsid w:val="002A77F7"/>
    <w:rsid w:val="002C3DF6"/>
    <w:rsid w:val="002D6F52"/>
    <w:rsid w:val="0031415A"/>
    <w:rsid w:val="00317462"/>
    <w:rsid w:val="00330F97"/>
    <w:rsid w:val="00332358"/>
    <w:rsid w:val="003504D7"/>
    <w:rsid w:val="003529CE"/>
    <w:rsid w:val="00362F81"/>
    <w:rsid w:val="0037354C"/>
    <w:rsid w:val="00375D2F"/>
    <w:rsid w:val="003B420E"/>
    <w:rsid w:val="003F2345"/>
    <w:rsid w:val="003F63CE"/>
    <w:rsid w:val="00401C09"/>
    <w:rsid w:val="004057A6"/>
    <w:rsid w:val="00411C9F"/>
    <w:rsid w:val="0041304F"/>
    <w:rsid w:val="00420ACC"/>
    <w:rsid w:val="00422241"/>
    <w:rsid w:val="00425E26"/>
    <w:rsid w:val="0044665C"/>
    <w:rsid w:val="00452942"/>
    <w:rsid w:val="00453EB4"/>
    <w:rsid w:val="004609FE"/>
    <w:rsid w:val="00486347"/>
    <w:rsid w:val="004A05F8"/>
    <w:rsid w:val="004D5B09"/>
    <w:rsid w:val="004D5B49"/>
    <w:rsid w:val="004E1C78"/>
    <w:rsid w:val="004F42C8"/>
    <w:rsid w:val="0050074F"/>
    <w:rsid w:val="00502ECE"/>
    <w:rsid w:val="0051273E"/>
    <w:rsid w:val="005665AC"/>
    <w:rsid w:val="00571D16"/>
    <w:rsid w:val="00576CB4"/>
    <w:rsid w:val="005B1C3B"/>
    <w:rsid w:val="00600E28"/>
    <w:rsid w:val="0060280E"/>
    <w:rsid w:val="00610AD2"/>
    <w:rsid w:val="00637915"/>
    <w:rsid w:val="00666293"/>
    <w:rsid w:val="00672509"/>
    <w:rsid w:val="0067723F"/>
    <w:rsid w:val="007049C7"/>
    <w:rsid w:val="007050F6"/>
    <w:rsid w:val="007307F0"/>
    <w:rsid w:val="007349DA"/>
    <w:rsid w:val="0075188D"/>
    <w:rsid w:val="00765424"/>
    <w:rsid w:val="00775D1C"/>
    <w:rsid w:val="007846F6"/>
    <w:rsid w:val="00785AEC"/>
    <w:rsid w:val="007A61C9"/>
    <w:rsid w:val="007D136E"/>
    <w:rsid w:val="007E207E"/>
    <w:rsid w:val="00825A96"/>
    <w:rsid w:val="008456F3"/>
    <w:rsid w:val="008706FC"/>
    <w:rsid w:val="008A5112"/>
    <w:rsid w:val="008A77C7"/>
    <w:rsid w:val="008B3027"/>
    <w:rsid w:val="008B3836"/>
    <w:rsid w:val="008B4868"/>
    <w:rsid w:val="008B6D34"/>
    <w:rsid w:val="008D11D3"/>
    <w:rsid w:val="008F43ED"/>
    <w:rsid w:val="00926188"/>
    <w:rsid w:val="009322BC"/>
    <w:rsid w:val="00946AC1"/>
    <w:rsid w:val="009602D7"/>
    <w:rsid w:val="009769A3"/>
    <w:rsid w:val="009C0C20"/>
    <w:rsid w:val="009C73E1"/>
    <w:rsid w:val="009D1803"/>
    <w:rsid w:val="009E56C3"/>
    <w:rsid w:val="009E6D04"/>
    <w:rsid w:val="00A0122C"/>
    <w:rsid w:val="00A1116A"/>
    <w:rsid w:val="00A14EAC"/>
    <w:rsid w:val="00A376EF"/>
    <w:rsid w:val="00A37E98"/>
    <w:rsid w:val="00A66EBE"/>
    <w:rsid w:val="00AA7670"/>
    <w:rsid w:val="00AC6C02"/>
    <w:rsid w:val="00AD66E9"/>
    <w:rsid w:val="00AF0F9C"/>
    <w:rsid w:val="00B0449A"/>
    <w:rsid w:val="00B07597"/>
    <w:rsid w:val="00B21534"/>
    <w:rsid w:val="00B30272"/>
    <w:rsid w:val="00B35273"/>
    <w:rsid w:val="00B35DEC"/>
    <w:rsid w:val="00B3684C"/>
    <w:rsid w:val="00B473DB"/>
    <w:rsid w:val="00B47B90"/>
    <w:rsid w:val="00B56ADB"/>
    <w:rsid w:val="00B6204E"/>
    <w:rsid w:val="00B757E3"/>
    <w:rsid w:val="00B945ED"/>
    <w:rsid w:val="00BD3AE0"/>
    <w:rsid w:val="00BD6CAC"/>
    <w:rsid w:val="00BE52D4"/>
    <w:rsid w:val="00C1787E"/>
    <w:rsid w:val="00C2119F"/>
    <w:rsid w:val="00C3092E"/>
    <w:rsid w:val="00C43684"/>
    <w:rsid w:val="00C6574B"/>
    <w:rsid w:val="00C70A90"/>
    <w:rsid w:val="00CA0AC7"/>
    <w:rsid w:val="00D13D30"/>
    <w:rsid w:val="00D16595"/>
    <w:rsid w:val="00D17258"/>
    <w:rsid w:val="00D44F67"/>
    <w:rsid w:val="00D56417"/>
    <w:rsid w:val="00D56A85"/>
    <w:rsid w:val="00D62407"/>
    <w:rsid w:val="00D77E33"/>
    <w:rsid w:val="00D97C9A"/>
    <w:rsid w:val="00DB04D7"/>
    <w:rsid w:val="00DB0D58"/>
    <w:rsid w:val="00DC609F"/>
    <w:rsid w:val="00DF3315"/>
    <w:rsid w:val="00E050C0"/>
    <w:rsid w:val="00E454FD"/>
    <w:rsid w:val="00E55D7F"/>
    <w:rsid w:val="00E960B0"/>
    <w:rsid w:val="00E979E9"/>
    <w:rsid w:val="00E97CE8"/>
    <w:rsid w:val="00EA098C"/>
    <w:rsid w:val="00EB417D"/>
    <w:rsid w:val="00ED5EB0"/>
    <w:rsid w:val="00EF3FC6"/>
    <w:rsid w:val="00EF6D42"/>
    <w:rsid w:val="00F26D55"/>
    <w:rsid w:val="00F40FF8"/>
    <w:rsid w:val="00F51C3A"/>
    <w:rsid w:val="00F557F6"/>
    <w:rsid w:val="00F75111"/>
    <w:rsid w:val="00F81731"/>
    <w:rsid w:val="00F86F72"/>
    <w:rsid w:val="00F926DF"/>
    <w:rsid w:val="00F949A5"/>
    <w:rsid w:val="00F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AB6FE"/>
  <w15:chartTrackingRefBased/>
  <w15:docId w15:val="{4F4D4495-C96E-4B0E-A47D-7C1D9265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6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C09"/>
    <w:pPr>
      <w:ind w:left="0" w:firstLine="0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6F52"/>
    <w:pPr>
      <w:keepNext/>
      <w:keepLines/>
      <w:spacing w:line="259" w:lineRule="auto"/>
      <w:jc w:val="center"/>
      <w:outlineLvl w:val="0"/>
    </w:pPr>
    <w:rPr>
      <w:rFonts w:ascii="Tahoma" w:eastAsiaTheme="majorEastAsia" w:hAnsi="Tahoma" w:cs="Tahoma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D17258"/>
    <w:pPr>
      <w:keepNext/>
      <w:spacing w:after="240"/>
      <w:jc w:val="center"/>
      <w:outlineLvl w:val="1"/>
    </w:pPr>
    <w:rPr>
      <w:rFonts w:ascii="Tahoma" w:hAnsi="Tahoma"/>
      <w:sz w:val="38"/>
    </w:rPr>
  </w:style>
  <w:style w:type="paragraph" w:styleId="Heading3">
    <w:name w:val="heading 3"/>
    <w:basedOn w:val="Normal"/>
    <w:next w:val="Normal"/>
    <w:link w:val="Heading3Char"/>
    <w:qFormat/>
    <w:rsid w:val="002D6F52"/>
    <w:pPr>
      <w:keepNext/>
      <w:spacing w:after="240"/>
      <w:jc w:val="center"/>
      <w:outlineLvl w:val="2"/>
    </w:pPr>
    <w:rPr>
      <w:rFonts w:ascii="Century Gothic" w:hAnsi="Century Gothic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332358"/>
    <w:pPr>
      <w:keepNext/>
      <w:spacing w:after="120"/>
      <w:outlineLvl w:val="3"/>
    </w:pPr>
    <w:rPr>
      <w:rFonts w:ascii="Century Gothic" w:hAnsi="Century Gothic"/>
      <w:b/>
      <w:color w:val="0070C0"/>
      <w:sz w:val="28"/>
    </w:rPr>
  </w:style>
  <w:style w:type="paragraph" w:styleId="Heading5">
    <w:name w:val="heading 5"/>
    <w:basedOn w:val="Normal"/>
    <w:next w:val="Normal"/>
    <w:link w:val="Heading5Char"/>
    <w:qFormat/>
    <w:rsid w:val="002D6F52"/>
    <w:pPr>
      <w:spacing w:after="60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aliases w:val="CML"/>
    <w:basedOn w:val="TableNormal"/>
    <w:uiPriority w:val="50"/>
    <w:rsid w:val="00DF3315"/>
    <w:pPr>
      <w:jc w:val="center"/>
    </w:pPr>
    <w:rPr>
      <w:rFonts w:ascii="Cambria" w:eastAsia="Calibri" w:hAnsi="Cambria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  <w:vAlign w:val="center"/>
    </w:tc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  <w:color w:val="FFFFFF"/>
      </w:rPr>
      <w:tblPr/>
      <w:tcPr>
        <w:shd w:val="clear" w:color="auto" w:fill="4BACC6"/>
      </w:tcPr>
    </w:tblStylePr>
    <w:tblStylePr w:type="firstCol">
      <w:rPr>
        <w:b/>
        <w:bCs/>
        <w:color w:val="FFFFFF"/>
      </w:rPr>
      <w:tblPr/>
      <w:tcPr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Header">
    <w:name w:val="header"/>
    <w:basedOn w:val="Normal"/>
    <w:link w:val="HeaderChar"/>
    <w:uiPriority w:val="99"/>
    <w:unhideWhenUsed/>
    <w:rsid w:val="00080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5FA"/>
  </w:style>
  <w:style w:type="paragraph" w:styleId="Footer">
    <w:name w:val="footer"/>
    <w:basedOn w:val="Normal"/>
    <w:link w:val="FooterChar"/>
    <w:uiPriority w:val="99"/>
    <w:unhideWhenUsed/>
    <w:rsid w:val="00080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5FA"/>
  </w:style>
  <w:style w:type="character" w:customStyle="1" w:styleId="Heading1Char">
    <w:name w:val="Heading 1 Char"/>
    <w:basedOn w:val="DefaultParagraphFont"/>
    <w:link w:val="Heading1"/>
    <w:rsid w:val="002D6F52"/>
    <w:rPr>
      <w:rFonts w:ascii="Tahoma" w:eastAsiaTheme="majorEastAsia" w:hAnsi="Tahoma" w:cs="Tahoma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D17258"/>
    <w:rPr>
      <w:rFonts w:ascii="Tahoma" w:hAnsi="Tahoma" w:cs="Times New Roman"/>
      <w:sz w:val="38"/>
      <w:szCs w:val="20"/>
    </w:rPr>
  </w:style>
  <w:style w:type="character" w:customStyle="1" w:styleId="Heading3Char">
    <w:name w:val="Heading 3 Char"/>
    <w:basedOn w:val="DefaultParagraphFont"/>
    <w:link w:val="Heading3"/>
    <w:rsid w:val="002D6F52"/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332358"/>
    <w:rPr>
      <w:rFonts w:ascii="Century Gothic" w:hAnsi="Century Gothic" w:cs="Times New Roman"/>
      <w:b/>
      <w:color w:val="0070C0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D6F52"/>
    <w:rPr>
      <w:rFonts w:ascii="Times New Roman" w:eastAsia="Times New Roman" w:hAnsi="Times New Roman" w:cs="Times New Roman"/>
      <w:b/>
      <w:sz w:val="24"/>
      <w:szCs w:val="20"/>
    </w:rPr>
  </w:style>
  <w:style w:type="table" w:styleId="GridTable4-Accent1">
    <w:name w:val="Grid Table 4 Accent 1"/>
    <w:basedOn w:val="TableNormal"/>
    <w:uiPriority w:val="49"/>
    <w:rsid w:val="00C6574B"/>
    <w:pPr>
      <w:spacing w:before="40" w:after="40"/>
      <w:jc w:val="center"/>
    </w:pPr>
    <w:rPr>
      <w:rFonts w:ascii="Cambria" w:hAnsi="Cambria"/>
      <w:sz w:val="20"/>
    </w:rPr>
    <w:tblPr>
      <w:tblStyleRowBandSize w:val="1"/>
      <w:tblStyleColBandSize w:val="1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rPr>
      <w:cantSplit/>
      <w:jc w:val="center"/>
    </w:tr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576CB4"/>
    <w:pPr>
      <w:ind w:left="720"/>
    </w:pPr>
  </w:style>
  <w:style w:type="paragraph" w:styleId="NoSpacing">
    <w:name w:val="No Spacing"/>
    <w:uiPriority w:val="1"/>
    <w:qFormat/>
    <w:rsid w:val="00031251"/>
    <w:pPr>
      <w:spacing w:before="0"/>
      <w:ind w:left="0" w:firstLine="0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Gagnon</dc:creator>
  <cp:keywords/>
  <dc:description/>
  <cp:lastModifiedBy>Ed Gagnon</cp:lastModifiedBy>
  <cp:revision>165</cp:revision>
  <dcterms:created xsi:type="dcterms:W3CDTF">2020-06-24T20:36:00Z</dcterms:created>
  <dcterms:modified xsi:type="dcterms:W3CDTF">2020-10-07T15:03:00Z</dcterms:modified>
</cp:coreProperties>
</file>